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2：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四川中医药文化传承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</w:rPr>
        <w:t>与研究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中心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1"/>
          <w:szCs w:val="31"/>
        </w:rPr>
        <w:t>2019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</w:rPr>
        <w:t>年课题申报指南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本年度课题设重点项目、一般项目。申报指南仅为申报者提供一个选题参考，申报者也可围绕中医药文化与传承的热点问题，结合自身的研究专长、兴趣爱好自行设计研究指向和具体题目。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传统养生功法史料整理研究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中医药文化遗产的保护、传承与发展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名老中医经验挖掘与整理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中药炮制关键技术与传承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5. 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lang w:val="en-US" w:eastAsia="zh-CN" w:bidi="ar"/>
        </w:rPr>
        <w:instrText xml:space="preserve"> HYPERLINK "http://210.41.208.108/rewriter/35/http/intq9akxtm9bnl/views/specific/3004/JourDetail.jsp?dxNumber=100254877370&amp;fenlei=07030104;|16050101&amp;d=6B0B66D7DE0A9B63ED35A8BCF44AB73F&amp;s=%E4%B8%AD%E5%8C%BB%E8%8D%AF%E6%96%87%E5%8C%96&amp;ecode=utf-8"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spacing w:val="0"/>
          <w:sz w:val="24"/>
          <w:szCs w:val="24"/>
        </w:rPr>
        <w:t>中医药文化对外交流与传播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中医药文化的传承创新和弘扬普及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7. 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古典文学作品中的中医药文化研究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8. 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中医药文化遗产的保护、传承与发展</w:t>
      </w:r>
      <w:bookmarkStart w:id="0" w:name="_Hlt445717156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9. 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地区中医药文化特色研究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10. 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中医药文化的传承与产业链构建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11. 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道地药材保护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12. 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lang w:val="en-US" w:eastAsia="zh-CN" w:bidi="ar"/>
        </w:rPr>
        <w:instrText xml:space="preserve"> HYPERLINK "http://xueshu.baidu.com/s?wd=paperuri:(51fe7d4357cf5abbd646fc8572f2cfe3)&amp;filter=sc_long_sign&amp;tn=SE_xueshusource_2kduw22v&amp;sc_vurl=http://cdmd.cnki.com.cn/Article/CDMD-10730-1014302223.htm&amp;ie=utf-8"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中医药文化传承与地理标志保护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13. 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高等医药院校中医药文化传承与校园文化建设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14. 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中医师承教育探索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15. 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中医药资源保护危机与对策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16. 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传承中医药文化与高校德育教育探索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17. 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中医药文化旅游发展策略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840" w:right="0" w:hanging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18. 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中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lang w:val="en-US" w:eastAsia="zh-CN" w:bidi="ar"/>
        </w:rPr>
        <w:instrText xml:space="preserve"> HYPERLINK "http://xueshu.baidu.com/s?wd=paperuri:(4d3e33c73162f5bae67d98da1dd4fa4f)&amp;filter=sc_long_sign&amp;sc_ks_para=q=%E4%B8%AD%E5%8C%BB%E8%8D%AF%E6%96%87%E5%8C%96%E7%9A%84%E4%BC%A0%E6%89%BF%E4%B8%8E%E5%88%9B%E6%96%B0%E4%BA%BA%E6%89%8D%E7%9A%84%E5%9F%B9%E5%85%BB&amp;tn=SE_baiduxueshu_c1gjeupa&amp;ie=utf-8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spacing w:val="0"/>
          <w:sz w:val="24"/>
          <w:szCs w:val="24"/>
        </w:rPr>
        <w:t>医药创新人才培养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                         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四川中医药文化传承与研究中心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                                   2019年11月29日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唐渝柳</cp:lastModifiedBy>
  <dcterms:modified xsi:type="dcterms:W3CDTF">2019-12-02T06:53:38Z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